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76" w:rsidRPr="00D378BA" w:rsidRDefault="003E2F76" w:rsidP="00D378BA">
      <w:pPr>
        <w:spacing w:after="0" w:line="240" w:lineRule="auto"/>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The B</w:t>
      </w:r>
      <w:r w:rsidR="00F029C5" w:rsidRPr="00D378BA">
        <w:rPr>
          <w:rFonts w:ascii="Arial" w:eastAsia="Times New Roman" w:hAnsi="Arial" w:cs="Arial"/>
          <w:color w:val="000000" w:themeColor="text1"/>
          <w:lang w:val="en"/>
        </w:rPr>
        <w:t xml:space="preserve">ioanalytical, Metabolomics, and Pharmacokinetics </w:t>
      </w:r>
      <w:r w:rsidRPr="00D378BA">
        <w:rPr>
          <w:rFonts w:ascii="Arial" w:eastAsia="Times New Roman" w:hAnsi="Arial" w:cs="Arial"/>
          <w:color w:val="000000" w:themeColor="text1"/>
          <w:lang w:val="en"/>
        </w:rPr>
        <w:t xml:space="preserve">Shared Resource </w:t>
      </w:r>
      <w:bookmarkStart w:id="0" w:name="_GoBack"/>
      <w:r w:rsidR="00F029C5" w:rsidRPr="00D378BA">
        <w:rPr>
          <w:rFonts w:ascii="Arial" w:eastAsia="Times New Roman" w:hAnsi="Arial" w:cs="Arial"/>
          <w:color w:val="000000" w:themeColor="text1"/>
          <w:lang w:val="en"/>
        </w:rPr>
        <w:t xml:space="preserve">(BMPK) </w:t>
      </w:r>
      <w:bookmarkEnd w:id="0"/>
      <w:r w:rsidRPr="00D378BA">
        <w:rPr>
          <w:rFonts w:ascii="Arial" w:eastAsia="Times New Roman" w:hAnsi="Arial" w:cs="Arial"/>
          <w:color w:val="000000" w:themeColor="text1"/>
          <w:lang w:val="en"/>
        </w:rPr>
        <w:t xml:space="preserve">provides bioanalytical analysis, modeling and consultation services to support discovery-based research and pre-clinical/clinical research and drug development. These services include study design and method consultation, formulation development and preparation, determination of proper sample storage conditions, sample analysis, data compilation and correlations, and PK/PD modeling. Collaboration between BMPK and </w:t>
      </w:r>
      <w:r w:rsidR="00824CA1" w:rsidRPr="00D378BA">
        <w:rPr>
          <w:rFonts w:ascii="Arial" w:eastAsia="Times New Roman" w:hAnsi="Arial" w:cs="Arial"/>
          <w:color w:val="000000" w:themeColor="text1"/>
          <w:lang w:val="en"/>
        </w:rPr>
        <w:t xml:space="preserve">researchers </w:t>
      </w:r>
      <w:proofErr w:type="gramStart"/>
      <w:r w:rsidRPr="00D378BA">
        <w:rPr>
          <w:rFonts w:ascii="Arial" w:eastAsia="Times New Roman" w:hAnsi="Arial" w:cs="Arial"/>
          <w:color w:val="000000" w:themeColor="text1"/>
          <w:lang w:val="en"/>
        </w:rPr>
        <w:t>are conducted</w:t>
      </w:r>
      <w:proofErr w:type="gramEnd"/>
      <w:r w:rsidRPr="00D378BA">
        <w:rPr>
          <w:rFonts w:ascii="Arial" w:eastAsia="Times New Roman" w:hAnsi="Arial" w:cs="Arial"/>
          <w:color w:val="000000" w:themeColor="text1"/>
          <w:lang w:val="en"/>
        </w:rPr>
        <w:t xml:space="preserve"> through one-on-one meetings to prospectively plan and develop </w:t>
      </w:r>
      <w:r w:rsidR="00824CA1" w:rsidRPr="00D378BA">
        <w:rPr>
          <w:rFonts w:ascii="Arial" w:eastAsia="Times New Roman" w:hAnsi="Arial" w:cs="Arial"/>
          <w:color w:val="000000" w:themeColor="text1"/>
          <w:lang w:val="en"/>
        </w:rPr>
        <w:t xml:space="preserve">grants and other types of </w:t>
      </w:r>
      <w:r w:rsidR="003E39BA" w:rsidRPr="00D378BA">
        <w:rPr>
          <w:rFonts w:ascii="Arial" w:eastAsia="Times New Roman" w:hAnsi="Arial" w:cs="Arial"/>
          <w:color w:val="000000" w:themeColor="text1"/>
          <w:lang w:val="en"/>
        </w:rPr>
        <w:t xml:space="preserve">research </w:t>
      </w:r>
      <w:r w:rsidRPr="00D378BA">
        <w:rPr>
          <w:rFonts w:ascii="Arial" w:eastAsia="Times New Roman" w:hAnsi="Arial" w:cs="Arial"/>
          <w:color w:val="000000" w:themeColor="text1"/>
          <w:lang w:val="en"/>
        </w:rPr>
        <w:t>projects, or to evaluate ongoing study conduct, milestones, and outcomes.</w:t>
      </w:r>
    </w:p>
    <w:p w:rsidR="003E2F76" w:rsidRPr="00D378BA" w:rsidRDefault="003E2F76" w:rsidP="00D378BA">
      <w:pPr>
        <w:spacing w:after="0" w:line="240" w:lineRule="auto"/>
        <w:jc w:val="both"/>
        <w:rPr>
          <w:rFonts w:ascii="Arial" w:eastAsia="Times New Roman" w:hAnsi="Arial" w:cs="Arial"/>
          <w:color w:val="000000" w:themeColor="text1"/>
          <w:lang w:val="en"/>
        </w:rPr>
      </w:pPr>
    </w:p>
    <w:p w:rsidR="003E2F76" w:rsidRPr="00D378BA" w:rsidRDefault="003E2F76" w:rsidP="00D378BA">
      <w:pPr>
        <w:spacing w:after="0" w:line="240" w:lineRule="auto"/>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BMPK offers a wide variety of analytical methods as well as capabilities to develop and validate new assays. BMPK provides highly sensitive measurements for numerous chemotherapeutic agents and their metabolites along with endogenous compounds in a wide </w:t>
      </w:r>
      <w:r w:rsidR="00824CA1" w:rsidRPr="00D378BA">
        <w:rPr>
          <w:rFonts w:ascii="Arial" w:eastAsia="Times New Roman" w:hAnsi="Arial" w:cs="Arial"/>
          <w:color w:val="000000" w:themeColor="text1"/>
          <w:lang w:val="en"/>
        </w:rPr>
        <w:t xml:space="preserve">variety </w:t>
      </w:r>
      <w:r w:rsidRPr="00D378BA">
        <w:rPr>
          <w:rFonts w:ascii="Arial" w:eastAsia="Times New Roman" w:hAnsi="Arial" w:cs="Arial"/>
          <w:color w:val="000000" w:themeColor="text1"/>
          <w:lang w:val="en"/>
        </w:rPr>
        <w:t xml:space="preserve">of sample matrices (e.g., whole blood, plasma, serum, urine, cell pellets and media, xenografts, and a variety of tissue types from biodistribution studies) using innovative LC-MS, LC- MS/MS, UPLC, HPLC, CMIA, ELISA, and atomic absorption </w:t>
      </w:r>
      <w:r w:rsidR="00824CA1" w:rsidRPr="00D378BA">
        <w:rPr>
          <w:rFonts w:ascii="Arial" w:eastAsia="Times New Roman" w:hAnsi="Arial" w:cs="Arial"/>
          <w:color w:val="000000" w:themeColor="text1"/>
          <w:lang w:val="en"/>
        </w:rPr>
        <w:t xml:space="preserve">approaches and </w:t>
      </w:r>
      <w:r w:rsidRPr="00D378BA">
        <w:rPr>
          <w:rFonts w:ascii="Arial" w:eastAsia="Times New Roman" w:hAnsi="Arial" w:cs="Arial"/>
          <w:color w:val="000000" w:themeColor="text1"/>
          <w:lang w:val="en"/>
        </w:rPr>
        <w:t>techniques.</w:t>
      </w:r>
    </w:p>
    <w:p w:rsidR="003E2F76" w:rsidRPr="00D378BA" w:rsidRDefault="003E2F76" w:rsidP="00D378BA">
      <w:pPr>
        <w:spacing w:after="0" w:line="240" w:lineRule="auto"/>
        <w:jc w:val="both"/>
        <w:rPr>
          <w:rFonts w:ascii="Arial" w:eastAsia="Times New Roman" w:hAnsi="Arial" w:cs="Arial"/>
          <w:color w:val="000000" w:themeColor="text1"/>
          <w:lang w:val="en"/>
        </w:rPr>
      </w:pPr>
    </w:p>
    <w:p w:rsidR="003E2F76" w:rsidRPr="00D378BA" w:rsidRDefault="003E2F76" w:rsidP="00D378BA">
      <w:pPr>
        <w:spacing w:after="0" w:line="240" w:lineRule="auto"/>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 xml:space="preserve">Non-compartmental analysis (NCA) and PK/PD simulations </w:t>
      </w:r>
      <w:r w:rsidR="00824CA1" w:rsidRPr="00D378BA">
        <w:rPr>
          <w:rFonts w:ascii="Arial" w:eastAsia="Times New Roman" w:hAnsi="Arial" w:cs="Arial"/>
          <w:color w:val="000000" w:themeColor="text1"/>
          <w:lang w:val="en"/>
        </w:rPr>
        <w:t xml:space="preserve">and modeling </w:t>
      </w:r>
      <w:r w:rsidRPr="00D378BA">
        <w:rPr>
          <w:rFonts w:ascii="Arial" w:eastAsia="Times New Roman" w:hAnsi="Arial" w:cs="Arial"/>
          <w:color w:val="000000" w:themeColor="text1"/>
          <w:lang w:val="en"/>
        </w:rPr>
        <w:t>are performed to gain insight into the mechanism of action and life cycle of cancer therapeutic agents as singular entities or in combination with other compounds, and to assess inter-individual</w:t>
      </w:r>
      <w:r w:rsidR="00824CA1" w:rsidRPr="00D378BA">
        <w:rPr>
          <w:rFonts w:ascii="Arial" w:eastAsia="Times New Roman" w:hAnsi="Arial" w:cs="Arial"/>
          <w:color w:val="000000" w:themeColor="text1"/>
          <w:lang w:val="en"/>
        </w:rPr>
        <w:t xml:space="preserve">, </w:t>
      </w:r>
      <w:r w:rsidRPr="00D378BA">
        <w:rPr>
          <w:rFonts w:ascii="Arial" w:eastAsia="Times New Roman" w:hAnsi="Arial" w:cs="Arial"/>
          <w:color w:val="000000" w:themeColor="text1"/>
          <w:lang w:val="en"/>
        </w:rPr>
        <w:t>random variability within study populations</w:t>
      </w:r>
      <w:r w:rsidR="00824CA1" w:rsidRPr="00D378BA">
        <w:rPr>
          <w:rFonts w:ascii="Arial" w:eastAsia="Times New Roman" w:hAnsi="Arial" w:cs="Arial"/>
          <w:color w:val="000000" w:themeColor="text1"/>
          <w:lang w:val="en"/>
        </w:rPr>
        <w:t>, and other influential factors</w:t>
      </w:r>
      <w:r w:rsidRPr="00D378BA">
        <w:rPr>
          <w:rFonts w:ascii="Arial" w:eastAsia="Times New Roman" w:hAnsi="Arial" w:cs="Arial"/>
          <w:color w:val="000000" w:themeColor="text1"/>
          <w:lang w:val="en"/>
        </w:rPr>
        <w:t xml:space="preserve">. The information gained from past studies </w:t>
      </w:r>
      <w:proofErr w:type="gramStart"/>
      <w:r w:rsidRPr="00D378BA">
        <w:rPr>
          <w:rFonts w:ascii="Arial" w:eastAsia="Times New Roman" w:hAnsi="Arial" w:cs="Arial"/>
          <w:color w:val="000000" w:themeColor="text1"/>
          <w:lang w:val="en"/>
        </w:rPr>
        <w:t>is used</w:t>
      </w:r>
      <w:proofErr w:type="gramEnd"/>
      <w:r w:rsidRPr="00D378BA">
        <w:rPr>
          <w:rFonts w:ascii="Arial" w:eastAsia="Times New Roman" w:hAnsi="Arial" w:cs="Arial"/>
          <w:color w:val="000000" w:themeColor="text1"/>
          <w:lang w:val="en"/>
        </w:rPr>
        <w:t xml:space="preserve"> to optimize the design aspects of future research and clinical trials including dosing strategies and the selection of patient populations. BMPK serves as an essential component of CCSG’s research efforts developing complementary collaborations between its bioanalytical and pharmacokinetic capabilities and the skill sets of other shared resources, such as genomics, biostatistics, laboratory animal, hematology, etc.</w:t>
      </w:r>
    </w:p>
    <w:p w:rsidR="009E04F4" w:rsidRPr="00D378BA" w:rsidRDefault="009E04F4" w:rsidP="00D378BA">
      <w:pPr>
        <w:spacing w:after="0" w:line="240" w:lineRule="auto"/>
        <w:rPr>
          <w:rFonts w:ascii="Arial" w:eastAsia="Times New Roman" w:hAnsi="Arial" w:cs="Arial"/>
          <w:color w:val="000000" w:themeColor="text1"/>
          <w:lang w:val="en"/>
        </w:rPr>
      </w:pPr>
    </w:p>
    <w:p w:rsidR="009E04F4" w:rsidRPr="00D378BA" w:rsidRDefault="009E04F4" w:rsidP="00D378BA">
      <w:pPr>
        <w:spacing w:after="0" w:line="240" w:lineRule="auto"/>
        <w:outlineLvl w:val="1"/>
        <w:rPr>
          <w:rFonts w:ascii="Arial" w:eastAsia="Times New Roman" w:hAnsi="Arial" w:cs="Arial"/>
          <w:color w:val="000000" w:themeColor="text1"/>
          <w:lang w:val="en"/>
        </w:rPr>
      </w:pPr>
      <w:r w:rsidRPr="00D378BA">
        <w:rPr>
          <w:rFonts w:ascii="Arial" w:eastAsia="Times New Roman" w:hAnsi="Arial" w:cs="Arial"/>
          <w:b/>
          <w:color w:val="000000" w:themeColor="text1"/>
          <w:lang w:val="en"/>
        </w:rPr>
        <w:t>BMPK General Instrumentation:</w:t>
      </w:r>
    </w:p>
    <w:p w:rsidR="009E04F4" w:rsidRPr="00D378BA" w:rsidRDefault="009E04F4" w:rsidP="00D378BA">
      <w:pPr>
        <w:pStyle w:val="BodyText"/>
        <w:spacing w:after="0"/>
        <w:ind w:right="113"/>
        <w:jc w:val="both"/>
        <w:rPr>
          <w:rFonts w:ascii="Arial" w:hAnsi="Arial" w:cs="Arial"/>
          <w:color w:val="000000" w:themeColor="text1"/>
          <w:sz w:val="22"/>
          <w:szCs w:val="22"/>
          <w:lang w:val="en"/>
        </w:rPr>
      </w:pPr>
      <w:r w:rsidRPr="00D378BA">
        <w:rPr>
          <w:rFonts w:ascii="Arial" w:hAnsi="Arial" w:cs="Arial"/>
          <w:color w:val="000000" w:themeColor="text1"/>
          <w:sz w:val="22"/>
          <w:szCs w:val="22"/>
        </w:rPr>
        <w:t>The BMPK laboratory is equipped with the following</w:t>
      </w:r>
      <w:r w:rsidR="00824CA1" w:rsidRPr="00D378BA">
        <w:rPr>
          <w:rFonts w:ascii="Arial" w:hAnsi="Arial" w:cs="Arial"/>
          <w:color w:val="000000" w:themeColor="text1"/>
          <w:sz w:val="22"/>
          <w:szCs w:val="22"/>
        </w:rPr>
        <w:t xml:space="preserve"> items</w:t>
      </w:r>
      <w:r w:rsidRPr="00D378BA">
        <w:rPr>
          <w:rFonts w:ascii="Arial" w:hAnsi="Arial" w:cs="Arial"/>
          <w:color w:val="000000" w:themeColor="text1"/>
          <w:sz w:val="22"/>
          <w:szCs w:val="22"/>
        </w:rPr>
        <w:t>: 3 biosafety cabinets</w:t>
      </w:r>
      <w:r w:rsidR="003E39BA" w:rsidRPr="00D378BA">
        <w:rPr>
          <w:rFonts w:ascii="Arial" w:hAnsi="Arial" w:cs="Arial"/>
          <w:color w:val="000000" w:themeColor="text1"/>
          <w:sz w:val="22"/>
          <w:szCs w:val="22"/>
        </w:rPr>
        <w:t>;</w:t>
      </w:r>
      <w:r w:rsidRPr="00D378BA">
        <w:rPr>
          <w:rFonts w:ascii="Arial" w:hAnsi="Arial" w:cs="Arial"/>
          <w:color w:val="000000" w:themeColor="text1"/>
          <w:sz w:val="22"/>
          <w:szCs w:val="22"/>
        </w:rPr>
        <w:t xml:space="preserve"> 3 </w:t>
      </w:r>
      <w:r w:rsidR="00824CA1" w:rsidRPr="00D378BA">
        <w:rPr>
          <w:rFonts w:ascii="Arial" w:hAnsi="Arial" w:cs="Arial"/>
          <w:color w:val="000000" w:themeColor="text1"/>
          <w:sz w:val="22"/>
          <w:szCs w:val="22"/>
        </w:rPr>
        <w:t xml:space="preserve">exhaust </w:t>
      </w:r>
      <w:r w:rsidRPr="00D378BA">
        <w:rPr>
          <w:rFonts w:ascii="Arial" w:hAnsi="Arial" w:cs="Arial"/>
          <w:color w:val="000000" w:themeColor="text1"/>
          <w:sz w:val="22"/>
          <w:szCs w:val="22"/>
        </w:rPr>
        <w:t>fume hoods</w:t>
      </w:r>
      <w:r w:rsidR="003E39BA" w:rsidRPr="00D378BA">
        <w:rPr>
          <w:rFonts w:ascii="Arial" w:hAnsi="Arial" w:cs="Arial"/>
          <w:color w:val="000000" w:themeColor="text1"/>
          <w:sz w:val="22"/>
          <w:szCs w:val="22"/>
        </w:rPr>
        <w:t>;</w:t>
      </w:r>
      <w:r w:rsidRPr="00D378BA">
        <w:rPr>
          <w:rFonts w:ascii="Arial" w:hAnsi="Arial" w:cs="Arial"/>
          <w:color w:val="000000" w:themeColor="text1"/>
          <w:sz w:val="22"/>
          <w:szCs w:val="22"/>
        </w:rPr>
        <w:t xml:space="preserve"> an incubator</w:t>
      </w:r>
      <w:r w:rsidR="003E39BA" w:rsidRPr="00D378BA">
        <w:rPr>
          <w:rFonts w:ascii="Arial" w:hAnsi="Arial" w:cs="Arial"/>
          <w:color w:val="000000" w:themeColor="text1"/>
          <w:sz w:val="22"/>
          <w:szCs w:val="22"/>
        </w:rPr>
        <w:t>;</w:t>
      </w:r>
      <w:r w:rsidRPr="00D378BA">
        <w:rPr>
          <w:rFonts w:ascii="Arial" w:hAnsi="Arial" w:cs="Arial"/>
          <w:color w:val="000000" w:themeColor="text1"/>
          <w:sz w:val="22"/>
          <w:szCs w:val="22"/>
        </w:rPr>
        <w:t xml:space="preserve"> several microcentrifuges and table-top centrifuges; multiple refrigerators, -20 °C</w:t>
      </w:r>
      <w:r w:rsidR="003E39BA" w:rsidRPr="00D378BA">
        <w:rPr>
          <w:rFonts w:ascii="Arial" w:hAnsi="Arial" w:cs="Arial"/>
          <w:color w:val="000000" w:themeColor="text1"/>
          <w:sz w:val="22"/>
          <w:szCs w:val="22"/>
        </w:rPr>
        <w:t xml:space="preserve"> freezers</w:t>
      </w:r>
      <w:r w:rsidRPr="00D378BA">
        <w:rPr>
          <w:rFonts w:ascii="Arial" w:hAnsi="Arial" w:cs="Arial"/>
          <w:color w:val="000000" w:themeColor="text1"/>
          <w:sz w:val="22"/>
          <w:szCs w:val="22"/>
        </w:rPr>
        <w:t>,</w:t>
      </w:r>
      <w:r w:rsidR="003E39BA" w:rsidRPr="00D378BA">
        <w:rPr>
          <w:rFonts w:ascii="Arial" w:hAnsi="Arial" w:cs="Arial"/>
          <w:color w:val="000000" w:themeColor="text1"/>
          <w:sz w:val="22"/>
          <w:szCs w:val="22"/>
        </w:rPr>
        <w:t xml:space="preserve"> and </w:t>
      </w:r>
      <w:r w:rsidRPr="00D378BA">
        <w:rPr>
          <w:rFonts w:ascii="Arial" w:hAnsi="Arial" w:cs="Arial"/>
          <w:color w:val="000000" w:themeColor="text1"/>
          <w:sz w:val="22"/>
          <w:szCs w:val="22"/>
        </w:rPr>
        <w:t>-80 °C freezers with security alarm monitoring systems; two analytical balances; water baths; 96-well and tube nitrogen evaporators</w:t>
      </w:r>
      <w:r w:rsidR="003E39BA" w:rsidRPr="00D378BA">
        <w:rPr>
          <w:rFonts w:ascii="Arial" w:hAnsi="Arial" w:cs="Arial"/>
          <w:color w:val="000000" w:themeColor="text1"/>
          <w:sz w:val="22"/>
          <w:szCs w:val="22"/>
        </w:rPr>
        <w:t>;</w:t>
      </w:r>
      <w:r w:rsidRPr="00D378BA">
        <w:rPr>
          <w:rFonts w:ascii="Arial" w:hAnsi="Arial" w:cs="Arial"/>
          <w:color w:val="000000" w:themeColor="text1"/>
          <w:sz w:val="22"/>
          <w:szCs w:val="22"/>
        </w:rPr>
        <w:t xml:space="preserve"> a speed-vac evaporator</w:t>
      </w:r>
      <w:r w:rsidR="003E39BA" w:rsidRPr="00D378BA">
        <w:rPr>
          <w:rFonts w:ascii="Arial" w:hAnsi="Arial" w:cs="Arial"/>
          <w:color w:val="000000" w:themeColor="text1"/>
          <w:sz w:val="22"/>
          <w:szCs w:val="22"/>
        </w:rPr>
        <w:t>;</w:t>
      </w:r>
      <w:r w:rsidRPr="00D378BA">
        <w:rPr>
          <w:rFonts w:ascii="Arial" w:hAnsi="Arial" w:cs="Arial"/>
          <w:color w:val="000000" w:themeColor="text1"/>
          <w:sz w:val="22"/>
          <w:szCs w:val="22"/>
        </w:rPr>
        <w:t xml:space="preserve"> pH meter; shakers and rotators; </w:t>
      </w:r>
      <w:r w:rsidR="003E39BA" w:rsidRPr="00D378BA">
        <w:rPr>
          <w:rFonts w:ascii="Arial" w:hAnsi="Arial" w:cs="Arial"/>
          <w:color w:val="000000" w:themeColor="text1"/>
          <w:sz w:val="22"/>
          <w:szCs w:val="22"/>
        </w:rPr>
        <w:t xml:space="preserve">a </w:t>
      </w:r>
      <w:r w:rsidRPr="00D378BA">
        <w:rPr>
          <w:rFonts w:ascii="Arial" w:hAnsi="Arial" w:cs="Arial"/>
          <w:color w:val="000000" w:themeColor="text1"/>
          <w:sz w:val="22"/>
          <w:szCs w:val="22"/>
        </w:rPr>
        <w:t xml:space="preserve">Waters </w:t>
      </w:r>
      <w:r w:rsidR="00824CA1" w:rsidRPr="00D378BA">
        <w:rPr>
          <w:rFonts w:ascii="Arial" w:hAnsi="Arial" w:cs="Arial"/>
          <w:color w:val="000000" w:themeColor="text1"/>
          <w:sz w:val="22"/>
          <w:szCs w:val="22"/>
        </w:rPr>
        <w:t>de-ionization (</w:t>
      </w:r>
      <w:r w:rsidRPr="00D378BA">
        <w:rPr>
          <w:rFonts w:ascii="Arial" w:hAnsi="Arial" w:cs="Arial"/>
          <w:color w:val="000000" w:themeColor="text1"/>
          <w:sz w:val="22"/>
          <w:szCs w:val="22"/>
        </w:rPr>
        <w:t>DI</w:t>
      </w:r>
      <w:r w:rsidR="00824CA1" w:rsidRPr="00D378BA">
        <w:rPr>
          <w:rFonts w:ascii="Arial" w:hAnsi="Arial" w:cs="Arial"/>
          <w:color w:val="000000" w:themeColor="text1"/>
          <w:sz w:val="22"/>
          <w:szCs w:val="22"/>
        </w:rPr>
        <w:t>)</w:t>
      </w:r>
      <w:r w:rsidRPr="00D378BA">
        <w:rPr>
          <w:rFonts w:ascii="Arial" w:hAnsi="Arial" w:cs="Arial"/>
          <w:color w:val="000000" w:themeColor="text1"/>
          <w:sz w:val="22"/>
          <w:szCs w:val="22"/>
        </w:rPr>
        <w:t xml:space="preserve"> water system, </w:t>
      </w:r>
      <w:r w:rsidR="003E39BA" w:rsidRPr="00D378BA">
        <w:rPr>
          <w:rFonts w:ascii="Arial" w:hAnsi="Arial" w:cs="Arial"/>
          <w:color w:val="000000" w:themeColor="text1"/>
          <w:sz w:val="22"/>
          <w:szCs w:val="22"/>
        </w:rPr>
        <w:t xml:space="preserve">an in-house </w:t>
      </w:r>
      <w:r w:rsidR="00824CA1" w:rsidRPr="00D378BA">
        <w:rPr>
          <w:rFonts w:ascii="Arial" w:hAnsi="Arial" w:cs="Arial"/>
          <w:color w:val="000000" w:themeColor="text1"/>
          <w:sz w:val="22"/>
          <w:szCs w:val="22"/>
        </w:rPr>
        <w:t>reverse osmosis (</w:t>
      </w:r>
      <w:r w:rsidR="003E39BA" w:rsidRPr="00D378BA">
        <w:rPr>
          <w:rFonts w:ascii="Arial" w:hAnsi="Arial" w:cs="Arial"/>
          <w:color w:val="000000" w:themeColor="text1"/>
          <w:sz w:val="22"/>
          <w:szCs w:val="22"/>
        </w:rPr>
        <w:t>RO</w:t>
      </w:r>
      <w:r w:rsidR="00824CA1" w:rsidRPr="00D378BA">
        <w:rPr>
          <w:rFonts w:ascii="Arial" w:hAnsi="Arial" w:cs="Arial"/>
          <w:color w:val="000000" w:themeColor="text1"/>
          <w:sz w:val="22"/>
          <w:szCs w:val="22"/>
        </w:rPr>
        <w:t>)</w:t>
      </w:r>
      <w:r w:rsidR="003E39BA" w:rsidRPr="00D378BA">
        <w:rPr>
          <w:rFonts w:ascii="Arial" w:hAnsi="Arial" w:cs="Arial"/>
          <w:color w:val="000000" w:themeColor="text1"/>
          <w:sz w:val="22"/>
          <w:szCs w:val="22"/>
        </w:rPr>
        <w:t xml:space="preserve"> water system; </w:t>
      </w:r>
      <w:r w:rsidRPr="00D378BA">
        <w:rPr>
          <w:rFonts w:ascii="Arial" w:hAnsi="Arial" w:cs="Arial"/>
          <w:color w:val="000000" w:themeColor="text1"/>
          <w:sz w:val="22"/>
          <w:szCs w:val="22"/>
        </w:rPr>
        <w:t xml:space="preserve">a yellow light room for </w:t>
      </w:r>
      <w:r w:rsidR="00824CA1" w:rsidRPr="00D378BA">
        <w:rPr>
          <w:rFonts w:ascii="Arial" w:hAnsi="Arial" w:cs="Arial"/>
          <w:color w:val="000000" w:themeColor="text1"/>
          <w:sz w:val="22"/>
          <w:szCs w:val="22"/>
        </w:rPr>
        <w:t xml:space="preserve">handling of </w:t>
      </w:r>
      <w:r w:rsidRPr="00D378BA">
        <w:rPr>
          <w:rFonts w:ascii="Arial" w:hAnsi="Arial" w:cs="Arial"/>
          <w:color w:val="000000" w:themeColor="text1"/>
          <w:sz w:val="22"/>
          <w:szCs w:val="22"/>
        </w:rPr>
        <w:t>photosensitive compounds/materials</w:t>
      </w:r>
      <w:r w:rsidR="003E39BA" w:rsidRPr="00D378BA">
        <w:rPr>
          <w:rFonts w:ascii="Arial" w:hAnsi="Arial" w:cs="Arial"/>
          <w:color w:val="000000" w:themeColor="text1"/>
          <w:sz w:val="22"/>
          <w:szCs w:val="22"/>
        </w:rPr>
        <w:t>;</w:t>
      </w:r>
      <w:r w:rsidRPr="00D378BA">
        <w:rPr>
          <w:rFonts w:ascii="Arial" w:hAnsi="Arial" w:cs="Arial"/>
          <w:color w:val="000000" w:themeColor="text1"/>
          <w:sz w:val="22"/>
          <w:szCs w:val="22"/>
        </w:rPr>
        <w:t xml:space="preserve"> manual and electronic single-place and multi-channel pipets</w:t>
      </w:r>
      <w:r w:rsidR="003E39BA" w:rsidRPr="00D378BA">
        <w:rPr>
          <w:rFonts w:ascii="Arial" w:hAnsi="Arial" w:cs="Arial"/>
          <w:color w:val="000000" w:themeColor="text1"/>
          <w:sz w:val="22"/>
          <w:szCs w:val="22"/>
        </w:rPr>
        <w:t>;</w:t>
      </w:r>
      <w:r w:rsidR="0058234A" w:rsidRPr="00D378BA">
        <w:rPr>
          <w:rFonts w:ascii="Arial" w:hAnsi="Arial" w:cs="Arial"/>
          <w:color w:val="000000" w:themeColor="text1"/>
          <w:sz w:val="22"/>
          <w:szCs w:val="22"/>
        </w:rPr>
        <w:t xml:space="preserve"> solid phase extraction plate systems</w:t>
      </w:r>
      <w:r w:rsidR="003E39BA" w:rsidRPr="00D378BA">
        <w:rPr>
          <w:rFonts w:ascii="Arial" w:hAnsi="Arial" w:cs="Arial"/>
          <w:color w:val="000000" w:themeColor="text1"/>
          <w:sz w:val="22"/>
          <w:szCs w:val="22"/>
        </w:rPr>
        <w:t>;</w:t>
      </w:r>
      <w:r w:rsidR="0058234A" w:rsidRPr="00D378BA">
        <w:rPr>
          <w:rFonts w:ascii="Arial" w:hAnsi="Arial" w:cs="Arial"/>
          <w:color w:val="000000" w:themeColor="text1"/>
          <w:sz w:val="22"/>
          <w:szCs w:val="22"/>
        </w:rPr>
        <w:t xml:space="preserve"> a Bead Ruptor and pencil sonicators for tissue homogenizations</w:t>
      </w:r>
      <w:r w:rsidR="003E39BA" w:rsidRPr="00D378BA">
        <w:rPr>
          <w:rFonts w:ascii="Arial" w:hAnsi="Arial" w:cs="Arial"/>
          <w:color w:val="000000" w:themeColor="text1"/>
          <w:sz w:val="22"/>
          <w:szCs w:val="22"/>
        </w:rPr>
        <w:t>;</w:t>
      </w:r>
      <w:r w:rsidR="0058234A" w:rsidRPr="00D378BA">
        <w:rPr>
          <w:rFonts w:ascii="Arial" w:hAnsi="Arial" w:cs="Arial"/>
          <w:color w:val="000000" w:themeColor="text1"/>
          <w:sz w:val="22"/>
          <w:szCs w:val="22"/>
        </w:rPr>
        <w:t xml:space="preserve"> and water bath sonicators</w:t>
      </w:r>
      <w:r w:rsidR="003E39BA" w:rsidRPr="00D378BA">
        <w:rPr>
          <w:rFonts w:ascii="Arial" w:hAnsi="Arial" w:cs="Arial"/>
          <w:color w:val="000000" w:themeColor="text1"/>
          <w:sz w:val="22"/>
          <w:szCs w:val="22"/>
        </w:rPr>
        <w:t>.</w:t>
      </w:r>
    </w:p>
    <w:p w:rsidR="003E2F76" w:rsidRPr="00D378BA" w:rsidRDefault="003E2F76" w:rsidP="00D378BA">
      <w:pPr>
        <w:spacing w:after="0" w:line="240" w:lineRule="auto"/>
        <w:outlineLvl w:val="1"/>
        <w:rPr>
          <w:rFonts w:ascii="Arial" w:eastAsia="Times New Roman" w:hAnsi="Arial" w:cs="Arial"/>
          <w:color w:val="000000" w:themeColor="text1"/>
          <w:lang w:val="en"/>
        </w:rPr>
      </w:pPr>
    </w:p>
    <w:p w:rsidR="003E2F76" w:rsidRPr="00D378BA" w:rsidRDefault="003E2F76" w:rsidP="00D378BA">
      <w:pPr>
        <w:spacing w:after="0" w:line="240" w:lineRule="auto"/>
        <w:outlineLvl w:val="1"/>
        <w:rPr>
          <w:rFonts w:ascii="Arial" w:eastAsia="Times New Roman" w:hAnsi="Arial" w:cs="Arial"/>
          <w:color w:val="000000" w:themeColor="text1"/>
          <w:lang w:val="en"/>
        </w:rPr>
      </w:pPr>
      <w:r w:rsidRPr="00D378BA">
        <w:rPr>
          <w:rFonts w:ascii="Arial" w:eastAsia="Times New Roman" w:hAnsi="Arial" w:cs="Arial"/>
          <w:b/>
          <w:color w:val="000000" w:themeColor="text1"/>
          <w:lang w:val="en"/>
        </w:rPr>
        <w:t xml:space="preserve">BMPK </w:t>
      </w:r>
      <w:r w:rsidR="009E04F4" w:rsidRPr="00D378BA">
        <w:rPr>
          <w:rFonts w:ascii="Arial" w:eastAsia="Times New Roman" w:hAnsi="Arial" w:cs="Arial"/>
          <w:b/>
          <w:color w:val="000000" w:themeColor="text1"/>
          <w:lang w:val="en"/>
        </w:rPr>
        <w:t xml:space="preserve">Analytical </w:t>
      </w:r>
      <w:r w:rsidR="00824CA1" w:rsidRPr="00D378BA">
        <w:rPr>
          <w:rFonts w:ascii="Arial" w:eastAsia="Times New Roman" w:hAnsi="Arial" w:cs="Arial"/>
          <w:b/>
          <w:color w:val="000000" w:themeColor="text1"/>
          <w:lang w:val="en"/>
        </w:rPr>
        <w:t xml:space="preserve">and Sample Handling </w:t>
      </w:r>
      <w:r w:rsidRPr="00D378BA">
        <w:rPr>
          <w:rFonts w:ascii="Arial" w:eastAsia="Times New Roman" w:hAnsi="Arial" w:cs="Arial"/>
          <w:b/>
          <w:color w:val="000000" w:themeColor="text1"/>
          <w:lang w:val="en"/>
        </w:rPr>
        <w:t>Instrumentatio</w:t>
      </w:r>
      <w:r w:rsidR="000A0390" w:rsidRPr="00D378BA">
        <w:rPr>
          <w:rFonts w:ascii="Arial" w:eastAsia="Times New Roman" w:hAnsi="Arial" w:cs="Arial"/>
          <w:b/>
          <w:color w:val="000000" w:themeColor="text1"/>
          <w:lang w:val="en"/>
        </w:rPr>
        <w:t>n:</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Sciex 5500 QTrap triple quadrupole (ESI/APCI-LC/MS/MS): contains a binary pump, a second binary pump</w:t>
      </w:r>
      <w:r w:rsidR="000A0390" w:rsidRPr="00D378BA">
        <w:rPr>
          <w:rFonts w:ascii="Arial" w:eastAsia="Times New Roman" w:hAnsi="Arial" w:cs="Arial"/>
          <w:color w:val="000000" w:themeColor="text1"/>
          <w:lang w:val="en"/>
        </w:rPr>
        <w:t>ing system</w:t>
      </w:r>
      <w:r w:rsidRPr="00D378BA">
        <w:rPr>
          <w:rFonts w:ascii="Arial" w:eastAsia="Times New Roman" w:hAnsi="Arial" w:cs="Arial"/>
          <w:color w:val="000000" w:themeColor="text1"/>
          <w:lang w:val="en"/>
        </w:rPr>
        <w:t xml:space="preserve"> for column switching procedures, a degasser, a </w:t>
      </w:r>
      <w:r w:rsidR="000A0390" w:rsidRPr="00D378BA">
        <w:rPr>
          <w:rFonts w:ascii="Arial" w:eastAsia="Times New Roman" w:hAnsi="Arial" w:cs="Arial"/>
          <w:color w:val="000000" w:themeColor="text1"/>
          <w:lang w:val="en"/>
        </w:rPr>
        <w:t xml:space="preserve">vial/96-well plate </w:t>
      </w:r>
      <w:r w:rsidRPr="00D378BA">
        <w:rPr>
          <w:rFonts w:ascii="Arial" w:eastAsia="Times New Roman" w:hAnsi="Arial" w:cs="Arial"/>
          <w:color w:val="000000" w:themeColor="text1"/>
          <w:lang w:val="en"/>
        </w:rPr>
        <w:t>autosampler</w:t>
      </w:r>
      <w:r w:rsidR="000A0390" w:rsidRPr="00D378BA">
        <w:rPr>
          <w:rFonts w:ascii="Arial" w:eastAsia="Times New Roman" w:hAnsi="Arial" w:cs="Arial"/>
          <w:color w:val="000000" w:themeColor="text1"/>
          <w:lang w:val="en"/>
        </w:rPr>
        <w:t xml:space="preserve"> with rinse pump</w:t>
      </w:r>
      <w:r w:rsidRPr="00D378BA">
        <w:rPr>
          <w:rFonts w:ascii="Arial" w:eastAsia="Times New Roman" w:hAnsi="Arial" w:cs="Arial"/>
          <w:color w:val="000000" w:themeColor="text1"/>
          <w:lang w:val="en"/>
        </w:rPr>
        <w:t xml:space="preserve">, a </w:t>
      </w:r>
      <w:r w:rsidR="000A0390" w:rsidRPr="00D378BA">
        <w:rPr>
          <w:rFonts w:ascii="Arial" w:eastAsia="Times New Roman" w:hAnsi="Arial" w:cs="Arial"/>
          <w:color w:val="000000" w:themeColor="text1"/>
          <w:lang w:val="en"/>
        </w:rPr>
        <w:t>column heater/cooler, and divert valves</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Sciex 5500 triple quadrupole (ESI/APCI-LC/MS/MS)</w:t>
      </w:r>
      <w:r w:rsidR="000A0390" w:rsidRPr="00D378BA">
        <w:rPr>
          <w:rFonts w:ascii="Arial" w:eastAsia="Times New Roman" w:hAnsi="Arial" w:cs="Arial"/>
          <w:color w:val="000000" w:themeColor="text1"/>
          <w:lang w:val="en"/>
        </w:rPr>
        <w:t>: contains a binary pump, a second binary pumping system for column switching procedures, a degasser, a vial/96-well plate autosampler with rinse pump, a column heater/cooler, a UV detector, and divert valves</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Thermo Scientific TSQ Vantage triple quadrupole (ESI/APCI-LC/MS/MS)</w:t>
      </w:r>
      <w:r w:rsidR="000A0390" w:rsidRPr="00D378BA">
        <w:rPr>
          <w:rFonts w:ascii="Arial" w:eastAsia="Times New Roman" w:hAnsi="Arial" w:cs="Arial"/>
          <w:color w:val="000000" w:themeColor="text1"/>
          <w:lang w:val="en"/>
        </w:rPr>
        <w:t>: contains a binary pump, a degasser, a vial/96-well plate place autosampler, a column heater/cooler, and divert valves</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Sciex API3000 triple quadrupole (ESI LC/MS/MS)</w:t>
      </w:r>
      <w:r w:rsidR="000A0390" w:rsidRPr="00D378BA">
        <w:rPr>
          <w:rFonts w:ascii="Arial" w:eastAsia="Times New Roman" w:hAnsi="Arial" w:cs="Arial"/>
          <w:color w:val="000000" w:themeColor="text1"/>
          <w:lang w:val="en"/>
        </w:rPr>
        <w:t>: contains a dual binary pumping system, a degasser, a vial/96-well plate place autosampler, a column heater, and divert valves</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Waters Ultra Performance Liquid Chromatography (UPLC) system</w:t>
      </w:r>
      <w:r w:rsidR="000A0390" w:rsidRPr="00D378BA">
        <w:rPr>
          <w:rFonts w:ascii="Arial" w:eastAsia="Times New Roman" w:hAnsi="Arial" w:cs="Arial"/>
          <w:color w:val="000000" w:themeColor="text1"/>
          <w:lang w:val="en"/>
        </w:rPr>
        <w:t xml:space="preserve">: contains a dual binary pump, a degasser, a vial/96-well plate place autosampler, a column heater, and </w:t>
      </w:r>
      <w:r w:rsidRPr="00D378BA">
        <w:rPr>
          <w:rFonts w:ascii="Arial" w:eastAsia="Times New Roman" w:hAnsi="Arial" w:cs="Arial"/>
          <w:color w:val="000000" w:themeColor="text1"/>
          <w:lang w:val="en"/>
        </w:rPr>
        <w:t>fluorescence and UV detect</w:t>
      </w:r>
      <w:r w:rsidR="009E04F4" w:rsidRPr="00D378BA">
        <w:rPr>
          <w:rFonts w:ascii="Arial" w:eastAsia="Times New Roman" w:hAnsi="Arial" w:cs="Arial"/>
          <w:color w:val="000000" w:themeColor="text1"/>
          <w:lang w:val="en"/>
        </w:rPr>
        <w:t>ors</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 xml:space="preserve">Waters </w:t>
      </w:r>
      <w:proofErr w:type="spellStart"/>
      <w:r w:rsidRPr="00D378BA">
        <w:rPr>
          <w:rFonts w:ascii="Arial" w:eastAsia="Times New Roman" w:hAnsi="Arial" w:cs="Arial"/>
          <w:color w:val="000000" w:themeColor="text1"/>
          <w:lang w:val="en"/>
        </w:rPr>
        <w:t>BioAlliance</w:t>
      </w:r>
      <w:proofErr w:type="spellEnd"/>
      <w:r w:rsidRPr="00D378BA">
        <w:rPr>
          <w:rFonts w:ascii="Arial" w:eastAsia="Times New Roman" w:hAnsi="Arial" w:cs="Arial"/>
          <w:color w:val="000000" w:themeColor="text1"/>
          <w:lang w:val="en"/>
        </w:rPr>
        <w:t xml:space="preserve"> High Performance Liqu</w:t>
      </w:r>
      <w:r w:rsidR="009E04F4" w:rsidRPr="00D378BA">
        <w:rPr>
          <w:rFonts w:ascii="Arial" w:eastAsia="Times New Roman" w:hAnsi="Arial" w:cs="Arial"/>
          <w:color w:val="000000" w:themeColor="text1"/>
          <w:lang w:val="en"/>
        </w:rPr>
        <w:t>id Chromatography (HPLC) system: contains a dual binary pump, a degasser, a vial/96-well plate place autosampler, a column heater, and fluorescence and UV detectors</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lastRenderedPageBreak/>
        <w:t>Abbott i1000SR Architect chemiluminescent magnetic microparticle immunoassay (CMIA)</w:t>
      </w:r>
      <w:r w:rsidR="006940A5" w:rsidRPr="00D378BA">
        <w:rPr>
          <w:rFonts w:ascii="Arial" w:eastAsia="Times New Roman" w:hAnsi="Arial" w:cs="Arial"/>
          <w:color w:val="000000" w:themeColor="text1"/>
          <w:lang w:val="en"/>
        </w:rPr>
        <w:t xml:space="preserve"> clinical analyzer</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Perkin Elmer Analyst 600 graphite furnace atomic absorption</w:t>
      </w:r>
      <w:r w:rsidR="006940A5" w:rsidRPr="00D378BA">
        <w:rPr>
          <w:rFonts w:ascii="Arial" w:eastAsia="Times New Roman" w:hAnsi="Arial" w:cs="Arial"/>
          <w:color w:val="000000" w:themeColor="text1"/>
          <w:lang w:val="en"/>
        </w:rPr>
        <w:t xml:space="preserve"> system</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proofErr w:type="spellStart"/>
      <w:r w:rsidRPr="00D378BA">
        <w:rPr>
          <w:rFonts w:ascii="Arial" w:eastAsia="Times New Roman" w:hAnsi="Arial" w:cs="Arial"/>
          <w:color w:val="000000" w:themeColor="text1"/>
          <w:lang w:val="en"/>
        </w:rPr>
        <w:t>Biotek</w:t>
      </w:r>
      <w:proofErr w:type="spellEnd"/>
      <w:r w:rsidRPr="00D378BA">
        <w:rPr>
          <w:rFonts w:ascii="Arial" w:eastAsia="Times New Roman" w:hAnsi="Arial" w:cs="Arial"/>
          <w:color w:val="000000" w:themeColor="text1"/>
          <w:lang w:val="en"/>
        </w:rPr>
        <w:t xml:space="preserve"> Synergy 96-well plate reader providing fluorescence and UV detection</w:t>
      </w:r>
    </w:p>
    <w:p w:rsidR="003E2F76" w:rsidRPr="00D378BA" w:rsidRDefault="003E2F76" w:rsidP="00D378BA">
      <w:pPr>
        <w:numPr>
          <w:ilvl w:val="0"/>
          <w:numId w:val="1"/>
        </w:numPr>
        <w:tabs>
          <w:tab w:val="clear" w:pos="720"/>
          <w:tab w:val="num" w:pos="630"/>
        </w:tabs>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 xml:space="preserve">Tomtec Quadra 4 robotic </w:t>
      </w:r>
      <w:r w:rsidR="000A0390" w:rsidRPr="00D378BA">
        <w:rPr>
          <w:rFonts w:ascii="Arial" w:eastAsia="Times New Roman" w:hAnsi="Arial" w:cs="Arial"/>
          <w:color w:val="000000" w:themeColor="text1"/>
          <w:lang w:val="en"/>
        </w:rPr>
        <w:t xml:space="preserve">96-well pipet </w:t>
      </w:r>
      <w:r w:rsidR="006940A5" w:rsidRPr="00D378BA">
        <w:rPr>
          <w:rFonts w:ascii="Arial" w:eastAsia="Times New Roman" w:hAnsi="Arial" w:cs="Arial"/>
          <w:color w:val="000000" w:themeColor="text1"/>
          <w:lang w:val="en"/>
        </w:rPr>
        <w:t xml:space="preserve">sample </w:t>
      </w:r>
      <w:r w:rsidRPr="00D378BA">
        <w:rPr>
          <w:rFonts w:ascii="Arial" w:eastAsia="Times New Roman" w:hAnsi="Arial" w:cs="Arial"/>
          <w:color w:val="000000" w:themeColor="text1"/>
          <w:lang w:val="en"/>
        </w:rPr>
        <w:t>handling system</w:t>
      </w:r>
    </w:p>
    <w:p w:rsidR="003E2F76" w:rsidRPr="00D378BA" w:rsidRDefault="003E2F76" w:rsidP="00D378BA">
      <w:pPr>
        <w:spacing w:after="0" w:line="240" w:lineRule="auto"/>
        <w:jc w:val="both"/>
        <w:outlineLvl w:val="1"/>
        <w:rPr>
          <w:rFonts w:ascii="Arial" w:eastAsia="Times New Roman" w:hAnsi="Arial" w:cs="Arial"/>
          <w:color w:val="000000" w:themeColor="text1"/>
          <w:lang w:val="en"/>
        </w:rPr>
      </w:pPr>
    </w:p>
    <w:p w:rsidR="003E2F76" w:rsidRPr="00D378BA" w:rsidRDefault="003E2F76" w:rsidP="00D378BA">
      <w:pPr>
        <w:spacing w:after="0" w:line="240" w:lineRule="auto"/>
        <w:jc w:val="both"/>
        <w:outlineLvl w:val="1"/>
        <w:rPr>
          <w:rFonts w:ascii="Arial" w:eastAsia="Times New Roman" w:hAnsi="Arial" w:cs="Arial"/>
          <w:b/>
          <w:color w:val="000000" w:themeColor="text1"/>
          <w:lang w:val="en"/>
        </w:rPr>
      </w:pPr>
      <w:r w:rsidRPr="00D378BA">
        <w:rPr>
          <w:rFonts w:ascii="Arial" w:eastAsia="Times New Roman" w:hAnsi="Arial" w:cs="Arial"/>
          <w:b/>
          <w:color w:val="000000" w:themeColor="text1"/>
          <w:lang w:val="en"/>
        </w:rPr>
        <w:t>BMPK Modeling Software</w:t>
      </w:r>
      <w:r w:rsidR="000A0390" w:rsidRPr="00D378BA">
        <w:rPr>
          <w:rFonts w:ascii="Arial" w:eastAsia="Times New Roman" w:hAnsi="Arial" w:cs="Arial"/>
          <w:b/>
          <w:color w:val="000000" w:themeColor="text1"/>
          <w:lang w:val="en"/>
        </w:rPr>
        <w:t>:</w:t>
      </w:r>
    </w:p>
    <w:p w:rsidR="003E2F76" w:rsidRPr="00D378BA" w:rsidRDefault="003E2F76" w:rsidP="00D378BA">
      <w:pPr>
        <w:numPr>
          <w:ilvl w:val="0"/>
          <w:numId w:val="2"/>
        </w:numPr>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 xml:space="preserve">Phoenix </w:t>
      </w:r>
      <w:proofErr w:type="spellStart"/>
      <w:r w:rsidRPr="00D378BA">
        <w:rPr>
          <w:rFonts w:ascii="Arial" w:eastAsia="Times New Roman" w:hAnsi="Arial" w:cs="Arial"/>
          <w:color w:val="000000" w:themeColor="text1"/>
          <w:lang w:val="en"/>
        </w:rPr>
        <w:t>WinNonlin</w:t>
      </w:r>
      <w:proofErr w:type="spellEnd"/>
      <w:r w:rsidRPr="00D378BA">
        <w:rPr>
          <w:rFonts w:ascii="Arial" w:eastAsia="Times New Roman" w:hAnsi="Arial" w:cs="Arial"/>
          <w:color w:val="000000" w:themeColor="text1"/>
          <w:lang w:val="en"/>
        </w:rPr>
        <w:t xml:space="preserve"> Professional: Non-compartmental and compartmental modeling</w:t>
      </w:r>
    </w:p>
    <w:p w:rsidR="003E2F76" w:rsidRPr="00D378BA" w:rsidRDefault="003E2F76" w:rsidP="00D378BA">
      <w:pPr>
        <w:numPr>
          <w:ilvl w:val="0"/>
          <w:numId w:val="2"/>
        </w:numPr>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ADAPT 5 and S ADAPT: individual compartmental PK and PK/PD modeling</w:t>
      </w:r>
    </w:p>
    <w:p w:rsidR="003E2F76" w:rsidRPr="00D378BA" w:rsidRDefault="003E2F76" w:rsidP="00D378BA">
      <w:pPr>
        <w:numPr>
          <w:ilvl w:val="0"/>
          <w:numId w:val="2"/>
        </w:numPr>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NONMEN: nonlinear mixed effect modeling software for population analysis to determine sources of variability in the PK and PD of a drug</w:t>
      </w:r>
    </w:p>
    <w:p w:rsidR="003E2F76" w:rsidRPr="00D378BA" w:rsidRDefault="003E2F76" w:rsidP="00D378BA">
      <w:pPr>
        <w:numPr>
          <w:ilvl w:val="0"/>
          <w:numId w:val="2"/>
        </w:numPr>
        <w:spacing w:after="0" w:line="240" w:lineRule="auto"/>
        <w:ind w:left="576"/>
        <w:jc w:val="both"/>
        <w:rPr>
          <w:rFonts w:ascii="Arial" w:eastAsia="Times New Roman" w:hAnsi="Arial" w:cs="Arial"/>
          <w:color w:val="000000" w:themeColor="text1"/>
          <w:lang w:val="en"/>
        </w:rPr>
      </w:pPr>
      <w:proofErr w:type="spellStart"/>
      <w:r w:rsidRPr="00D378BA">
        <w:rPr>
          <w:rFonts w:ascii="Arial" w:eastAsia="Times New Roman" w:hAnsi="Arial" w:cs="Arial"/>
          <w:color w:val="000000" w:themeColor="text1"/>
          <w:lang w:val="en"/>
        </w:rPr>
        <w:t>WinPOPT</w:t>
      </w:r>
      <w:proofErr w:type="spellEnd"/>
      <w:r w:rsidRPr="00D378BA">
        <w:rPr>
          <w:rFonts w:ascii="Arial" w:eastAsia="Times New Roman" w:hAnsi="Arial" w:cs="Arial"/>
          <w:color w:val="000000" w:themeColor="text1"/>
          <w:lang w:val="en"/>
        </w:rPr>
        <w:t>: provides information for PK and /or PK/PS sampling strategies</w:t>
      </w:r>
    </w:p>
    <w:p w:rsidR="003E2F76" w:rsidRPr="00D378BA" w:rsidRDefault="003E2F76" w:rsidP="00D378BA">
      <w:pPr>
        <w:numPr>
          <w:ilvl w:val="0"/>
          <w:numId w:val="2"/>
        </w:numPr>
        <w:spacing w:after="0" w:line="240" w:lineRule="auto"/>
        <w:ind w:left="576"/>
        <w:jc w:val="both"/>
        <w:rPr>
          <w:rFonts w:ascii="Arial" w:eastAsia="Times New Roman" w:hAnsi="Arial" w:cs="Arial"/>
          <w:color w:val="000000" w:themeColor="text1"/>
          <w:lang w:val="en"/>
        </w:rPr>
      </w:pPr>
      <w:r w:rsidRPr="00D378BA">
        <w:rPr>
          <w:rFonts w:ascii="Arial" w:eastAsia="Times New Roman" w:hAnsi="Arial" w:cs="Arial"/>
          <w:color w:val="000000" w:themeColor="text1"/>
          <w:lang w:val="en"/>
        </w:rPr>
        <w:t>SAS 9.3: used to manage and clean databases, and create graphics and tables</w:t>
      </w:r>
    </w:p>
    <w:p w:rsidR="004167EC" w:rsidRPr="00D378BA" w:rsidRDefault="004167EC" w:rsidP="00D378BA">
      <w:pPr>
        <w:spacing w:after="0" w:line="240" w:lineRule="auto"/>
        <w:jc w:val="both"/>
        <w:rPr>
          <w:rFonts w:ascii="Arial" w:hAnsi="Arial" w:cs="Arial"/>
          <w:color w:val="000000" w:themeColor="text1"/>
        </w:rPr>
      </w:pPr>
    </w:p>
    <w:sectPr w:rsidR="004167EC" w:rsidRPr="00D378BA" w:rsidSect="006940A5">
      <w:footerReference w:type="default" r:id="rId8"/>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E1" w:rsidRDefault="00BB5EE1" w:rsidP="006940A5">
      <w:pPr>
        <w:spacing w:after="0" w:line="240" w:lineRule="auto"/>
      </w:pPr>
      <w:r>
        <w:separator/>
      </w:r>
    </w:p>
  </w:endnote>
  <w:endnote w:type="continuationSeparator" w:id="0">
    <w:p w:rsidR="00BB5EE1" w:rsidRDefault="00BB5EE1" w:rsidP="0069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ssistant">
    <w:altName w:val="Times New Roman"/>
    <w:charset w:val="00"/>
    <w:family w:val="auto"/>
    <w:pitch w:val="default"/>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047401"/>
      <w:docPartObj>
        <w:docPartGallery w:val="Page Numbers (Bottom of Page)"/>
        <w:docPartUnique/>
      </w:docPartObj>
    </w:sdtPr>
    <w:sdtEndPr/>
    <w:sdtContent>
      <w:sdt>
        <w:sdtPr>
          <w:id w:val="860082579"/>
          <w:docPartObj>
            <w:docPartGallery w:val="Page Numbers (Top of Page)"/>
            <w:docPartUnique/>
          </w:docPartObj>
        </w:sdtPr>
        <w:sdtEndPr/>
        <w:sdtContent>
          <w:p w:rsidR="006940A5" w:rsidRDefault="006940A5" w:rsidP="006940A5">
            <w:pPr>
              <w:pStyle w:val="Footer"/>
              <w:tabs>
                <w:tab w:val="clear" w:pos="9360"/>
                <w:tab w:val="left" w:pos="180"/>
                <w:tab w:val="right" w:pos="9900"/>
              </w:tabs>
            </w:pPr>
            <w:r>
              <w:t>Roswell Park BMPK Shared Resource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378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78BA">
              <w:rPr>
                <w:b/>
                <w:bCs/>
                <w:noProof/>
              </w:rPr>
              <w:t>2</w:t>
            </w:r>
            <w:r>
              <w:rPr>
                <w:b/>
                <w:bCs/>
                <w:sz w:val="24"/>
                <w:szCs w:val="24"/>
              </w:rPr>
              <w:fldChar w:fldCharType="end"/>
            </w:r>
          </w:p>
        </w:sdtContent>
      </w:sdt>
    </w:sdtContent>
  </w:sdt>
  <w:p w:rsidR="006940A5" w:rsidRDefault="00694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E1" w:rsidRDefault="00BB5EE1" w:rsidP="006940A5">
      <w:pPr>
        <w:spacing w:after="0" w:line="240" w:lineRule="auto"/>
      </w:pPr>
      <w:r>
        <w:separator/>
      </w:r>
    </w:p>
  </w:footnote>
  <w:footnote w:type="continuationSeparator" w:id="0">
    <w:p w:rsidR="00BB5EE1" w:rsidRDefault="00BB5EE1" w:rsidP="00694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4EDF"/>
    <w:multiLevelType w:val="multilevel"/>
    <w:tmpl w:val="EB12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C3FE0"/>
    <w:multiLevelType w:val="multilevel"/>
    <w:tmpl w:val="4824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30D70"/>
    <w:multiLevelType w:val="hybridMultilevel"/>
    <w:tmpl w:val="BA66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76"/>
    <w:rsid w:val="000A0390"/>
    <w:rsid w:val="003E2F76"/>
    <w:rsid w:val="003E39BA"/>
    <w:rsid w:val="004167EC"/>
    <w:rsid w:val="0058234A"/>
    <w:rsid w:val="006940A5"/>
    <w:rsid w:val="00824CA1"/>
    <w:rsid w:val="009E04F4"/>
    <w:rsid w:val="00BB5EE1"/>
    <w:rsid w:val="00D378BA"/>
    <w:rsid w:val="00F0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F76"/>
    <w:pPr>
      <w:spacing w:after="100" w:afterAutospacing="1" w:line="240" w:lineRule="auto"/>
      <w:outlineLvl w:val="1"/>
    </w:pPr>
    <w:rPr>
      <w:rFonts w:ascii="Assistant" w:eastAsia="Times New Roman" w:hAnsi="Assistan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F76"/>
    <w:rPr>
      <w:rFonts w:ascii="Assistant" w:eastAsia="Times New Roman" w:hAnsi="Assistant" w:cs="Times New Roman"/>
      <w:sz w:val="36"/>
      <w:szCs w:val="36"/>
    </w:rPr>
  </w:style>
  <w:style w:type="paragraph" w:styleId="NormalWeb">
    <w:name w:val="Normal (Web)"/>
    <w:basedOn w:val="Normal"/>
    <w:uiPriority w:val="99"/>
    <w:semiHidden/>
    <w:unhideWhenUsed/>
    <w:rsid w:val="003E2F7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E2F76"/>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E2F76"/>
    <w:rPr>
      <w:rFonts w:ascii="Courier New" w:eastAsia="Times New Roman" w:hAnsi="Courier New" w:cs="Courier New"/>
      <w:sz w:val="20"/>
      <w:szCs w:val="20"/>
    </w:rPr>
  </w:style>
  <w:style w:type="paragraph" w:styleId="BodyText">
    <w:name w:val="Body Text"/>
    <w:basedOn w:val="Normal"/>
    <w:link w:val="BodyTextChar"/>
    <w:unhideWhenUsed/>
    <w:rsid w:val="009E04F4"/>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9E04F4"/>
    <w:rPr>
      <w:rFonts w:ascii="Times" w:eastAsia="Times New Roman" w:hAnsi="Times" w:cs="Times"/>
      <w:sz w:val="24"/>
      <w:szCs w:val="24"/>
    </w:rPr>
  </w:style>
  <w:style w:type="paragraph" w:styleId="Header">
    <w:name w:val="header"/>
    <w:basedOn w:val="Normal"/>
    <w:link w:val="HeaderChar"/>
    <w:uiPriority w:val="99"/>
    <w:unhideWhenUsed/>
    <w:rsid w:val="00694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0A5"/>
  </w:style>
  <w:style w:type="paragraph" w:styleId="Footer">
    <w:name w:val="footer"/>
    <w:basedOn w:val="Normal"/>
    <w:link w:val="FooterChar"/>
    <w:uiPriority w:val="99"/>
    <w:unhideWhenUsed/>
    <w:rsid w:val="00694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F76"/>
    <w:pPr>
      <w:spacing w:after="100" w:afterAutospacing="1" w:line="240" w:lineRule="auto"/>
      <w:outlineLvl w:val="1"/>
    </w:pPr>
    <w:rPr>
      <w:rFonts w:ascii="Assistant" w:eastAsia="Times New Roman" w:hAnsi="Assistan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F76"/>
    <w:rPr>
      <w:rFonts w:ascii="Assistant" w:eastAsia="Times New Roman" w:hAnsi="Assistant" w:cs="Times New Roman"/>
      <w:sz w:val="36"/>
      <w:szCs w:val="36"/>
    </w:rPr>
  </w:style>
  <w:style w:type="paragraph" w:styleId="NormalWeb">
    <w:name w:val="Normal (Web)"/>
    <w:basedOn w:val="Normal"/>
    <w:uiPriority w:val="99"/>
    <w:semiHidden/>
    <w:unhideWhenUsed/>
    <w:rsid w:val="003E2F7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E2F76"/>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E2F76"/>
    <w:rPr>
      <w:rFonts w:ascii="Courier New" w:eastAsia="Times New Roman" w:hAnsi="Courier New" w:cs="Courier New"/>
      <w:sz w:val="20"/>
      <w:szCs w:val="20"/>
    </w:rPr>
  </w:style>
  <w:style w:type="paragraph" w:styleId="BodyText">
    <w:name w:val="Body Text"/>
    <w:basedOn w:val="Normal"/>
    <w:link w:val="BodyTextChar"/>
    <w:unhideWhenUsed/>
    <w:rsid w:val="009E04F4"/>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9E04F4"/>
    <w:rPr>
      <w:rFonts w:ascii="Times" w:eastAsia="Times New Roman" w:hAnsi="Times" w:cs="Times"/>
      <w:sz w:val="24"/>
      <w:szCs w:val="24"/>
    </w:rPr>
  </w:style>
  <w:style w:type="paragraph" w:styleId="Header">
    <w:name w:val="header"/>
    <w:basedOn w:val="Normal"/>
    <w:link w:val="HeaderChar"/>
    <w:uiPriority w:val="99"/>
    <w:unhideWhenUsed/>
    <w:rsid w:val="00694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0A5"/>
  </w:style>
  <w:style w:type="paragraph" w:styleId="Footer">
    <w:name w:val="footer"/>
    <w:basedOn w:val="Normal"/>
    <w:link w:val="FooterChar"/>
    <w:uiPriority w:val="99"/>
    <w:unhideWhenUsed/>
    <w:rsid w:val="00694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3696">
      <w:bodyDiv w:val="1"/>
      <w:marLeft w:val="0"/>
      <w:marRight w:val="0"/>
      <w:marTop w:val="0"/>
      <w:marBottom w:val="0"/>
      <w:divBdr>
        <w:top w:val="none" w:sz="0" w:space="0" w:color="auto"/>
        <w:left w:val="none" w:sz="0" w:space="0" w:color="auto"/>
        <w:bottom w:val="none" w:sz="0" w:space="0" w:color="auto"/>
        <w:right w:val="none" w:sz="0" w:space="0" w:color="auto"/>
      </w:divBdr>
      <w:divsChild>
        <w:div w:id="1323123114">
          <w:marLeft w:val="0"/>
          <w:marRight w:val="0"/>
          <w:marTop w:val="0"/>
          <w:marBottom w:val="0"/>
          <w:divBdr>
            <w:top w:val="none" w:sz="0" w:space="0" w:color="auto"/>
            <w:left w:val="none" w:sz="0" w:space="0" w:color="auto"/>
            <w:bottom w:val="none" w:sz="0" w:space="0" w:color="auto"/>
            <w:right w:val="none" w:sz="0" w:space="0" w:color="auto"/>
          </w:divBdr>
          <w:divsChild>
            <w:div w:id="1617756475">
              <w:marLeft w:val="0"/>
              <w:marRight w:val="0"/>
              <w:marTop w:val="0"/>
              <w:marBottom w:val="0"/>
              <w:divBdr>
                <w:top w:val="none" w:sz="0" w:space="0" w:color="auto"/>
                <w:left w:val="none" w:sz="0" w:space="0" w:color="auto"/>
                <w:bottom w:val="none" w:sz="0" w:space="0" w:color="auto"/>
                <w:right w:val="none" w:sz="0" w:space="0" w:color="auto"/>
              </w:divBdr>
              <w:divsChild>
                <w:div w:id="15543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Wilton, John</dc:creator>
  <cp:lastModifiedBy>Wilton, John</cp:lastModifiedBy>
  <cp:revision>3</cp:revision>
  <dcterms:created xsi:type="dcterms:W3CDTF">2020-05-12T14:47:00Z</dcterms:created>
  <dcterms:modified xsi:type="dcterms:W3CDTF">2020-05-19T08:51:00Z</dcterms:modified>
</cp:coreProperties>
</file>